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7502B2" w14:textId="77777777" w:rsidR="00DB19B2" w:rsidRDefault="00DB19B2">
      <w:pPr>
        <w:rPr>
          <w:sz w:val="2"/>
          <w:szCs w:val="2"/>
        </w:rPr>
      </w:pPr>
    </w:p>
    <w:tbl>
      <w:tblPr>
        <w:tblStyle w:val="a"/>
        <w:tblW w:w="11325" w:type="dxa"/>
        <w:tblInd w:w="-1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85"/>
        <w:gridCol w:w="5640"/>
      </w:tblGrid>
      <w:tr w:rsidR="00DB19B2" w14:paraId="74F8062C" w14:textId="77777777">
        <w:trPr>
          <w:trHeight w:val="360"/>
        </w:trPr>
        <w:tc>
          <w:tcPr>
            <w:tcW w:w="11325" w:type="dxa"/>
            <w:gridSpan w:val="2"/>
            <w:tcBorders>
              <w:top w:val="single" w:sz="18" w:space="0" w:color="4EA72E"/>
              <w:left w:val="single" w:sz="18" w:space="0" w:color="4EA72E"/>
              <w:bottom w:val="single" w:sz="18" w:space="0" w:color="4EA72E"/>
              <w:right w:val="single" w:sz="18" w:space="0" w:color="4EA72E"/>
            </w:tcBorders>
            <w:shd w:val="clear" w:color="auto" w:fill="4EA72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534D0" w14:textId="77777777" w:rsidR="00DB19B2" w:rsidRDefault="00986591">
            <w:pPr>
              <w:ind w:left="-44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TPAT </w:t>
            </w:r>
            <w:r w:rsidR="003E61ED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Physical Education 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Curriculum</w:t>
            </w:r>
          </w:p>
        </w:tc>
      </w:tr>
      <w:tr w:rsidR="00DB19B2" w14:paraId="73C05036" w14:textId="77777777">
        <w:trPr>
          <w:trHeight w:val="285"/>
        </w:trPr>
        <w:tc>
          <w:tcPr>
            <w:tcW w:w="5685" w:type="dxa"/>
            <w:tcBorders>
              <w:top w:val="nil"/>
              <w:left w:val="single" w:sz="18" w:space="0" w:color="4EA72E"/>
              <w:bottom w:val="single" w:sz="18" w:space="0" w:color="4EA72E"/>
              <w:right w:val="single" w:sz="18" w:space="0" w:color="4EA72E"/>
            </w:tcBorders>
            <w:shd w:val="clear" w:color="auto" w:fill="C1F0C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1B46D" w14:textId="77777777" w:rsidR="00DB19B2" w:rsidRPr="000852F5" w:rsidRDefault="00986591">
            <w:pPr>
              <w:spacing w:line="240" w:lineRule="auto"/>
              <w:ind w:left="-440"/>
              <w:jc w:val="center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Scope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18" w:space="0" w:color="4EA72E"/>
              <w:right w:val="single" w:sz="18" w:space="0" w:color="4EA72E"/>
            </w:tcBorders>
            <w:shd w:val="clear" w:color="auto" w:fill="C1F0C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3AFE9" w14:textId="77777777" w:rsidR="00DB19B2" w:rsidRPr="000852F5" w:rsidRDefault="00986591">
            <w:pPr>
              <w:spacing w:line="240" w:lineRule="auto"/>
              <w:ind w:left="-440"/>
              <w:jc w:val="center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Components- content and skills to be taught</w:t>
            </w:r>
          </w:p>
        </w:tc>
      </w:tr>
      <w:tr w:rsidR="00DB19B2" w14:paraId="3D1A0CE6" w14:textId="77777777">
        <w:trPr>
          <w:trHeight w:val="1892"/>
        </w:trPr>
        <w:tc>
          <w:tcPr>
            <w:tcW w:w="5685" w:type="dxa"/>
            <w:tcBorders>
              <w:top w:val="single" w:sz="18" w:space="0" w:color="4EA72E"/>
              <w:left w:val="single" w:sz="18" w:space="0" w:color="4EA72E"/>
              <w:bottom w:val="single" w:sz="18" w:space="0" w:color="4EA72E"/>
              <w:right w:val="single" w:sz="18" w:space="0" w:color="4EA72E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D22E44" w14:textId="77777777" w:rsidR="00DB19B2" w:rsidRPr="000852F5" w:rsidRDefault="00986591">
            <w:pPr>
              <w:numPr>
                <w:ilvl w:val="0"/>
                <w:numId w:val="8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National Curriculum coverage</w:t>
            </w:r>
          </w:p>
          <w:p w14:paraId="2145A9EA" w14:textId="77777777" w:rsidR="003E61ED" w:rsidRPr="000852F5" w:rsidRDefault="003E61ED">
            <w:pPr>
              <w:numPr>
                <w:ilvl w:val="0"/>
                <w:numId w:val="8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Real PE/Jasmine or similar programme of study that shows progression from EYFS to Y6</w:t>
            </w:r>
          </w:p>
          <w:p w14:paraId="08944D3A" w14:textId="77777777" w:rsidR="003E61ED" w:rsidRPr="000852F5" w:rsidRDefault="00986591" w:rsidP="003E61ED">
            <w:pPr>
              <w:numPr>
                <w:ilvl w:val="0"/>
                <w:numId w:val="9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Deliberate decisions made about what is taught when, building from EYFS with key strands identified - </w:t>
            </w:r>
            <w:r w:rsidR="003E61ED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skills and competencies</w:t>
            </w: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as identified by National Curriculum (</w:t>
            </w:r>
            <w:r w:rsidR="003E61ED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e.g. fundamental skills, development of activity specific skills and application of skills through key physical strands)</w:t>
            </w:r>
          </w:p>
          <w:p w14:paraId="3C636E08" w14:textId="77777777" w:rsidR="00DB19B2" w:rsidRPr="000852F5" w:rsidRDefault="00DB19B2">
            <w:pPr>
              <w:spacing w:line="240" w:lineRule="auto"/>
              <w:ind w:left="720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5640" w:type="dxa"/>
            <w:tcBorders>
              <w:top w:val="single" w:sz="18" w:space="0" w:color="4EA72E"/>
              <w:left w:val="nil"/>
              <w:bottom w:val="single" w:sz="18" w:space="0" w:color="4EA72E"/>
              <w:right w:val="single" w:sz="18" w:space="0" w:color="4EA72E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0F914" w14:textId="77777777" w:rsidR="00DB19B2" w:rsidRPr="000852F5" w:rsidRDefault="00986591">
            <w:pPr>
              <w:numPr>
                <w:ilvl w:val="0"/>
                <w:numId w:val="14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Key knowledge is identified, showing progression from EYFS to Year 6</w:t>
            </w:r>
          </w:p>
          <w:p w14:paraId="67E05BBD" w14:textId="77777777" w:rsidR="00DB19B2" w:rsidRPr="000852F5" w:rsidRDefault="00986591">
            <w:pPr>
              <w:numPr>
                <w:ilvl w:val="0"/>
                <w:numId w:val="14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Disciplinary skills are explicitly taught, showing progression linked to the substantive knowledge</w:t>
            </w:r>
            <w:r w:rsidR="003E61ED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while </w:t>
            </w:r>
            <w:r w:rsidR="003444A2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being engaging</w:t>
            </w:r>
          </w:p>
          <w:p w14:paraId="252C5BF2" w14:textId="77777777" w:rsidR="003444A2" w:rsidRPr="000852F5" w:rsidRDefault="003E61ED">
            <w:pPr>
              <w:numPr>
                <w:ilvl w:val="0"/>
                <w:numId w:val="14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Activities </w:t>
            </w:r>
            <w:r w:rsidR="00986591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are deliberately chosen t</w:t>
            </w:r>
            <w:r w:rsidR="003444A2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o make the c</w:t>
            </w:r>
            <w:r w:rsidR="00986591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urriculum, </w:t>
            </w:r>
            <w:r w:rsidR="003444A2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exciting, encouraging children to be active and develop a love of physical activity</w:t>
            </w:r>
          </w:p>
          <w:p w14:paraId="31D0172D" w14:textId="77777777" w:rsidR="00DB19B2" w:rsidRPr="000852F5" w:rsidRDefault="003444A2">
            <w:pPr>
              <w:numPr>
                <w:ilvl w:val="0"/>
                <w:numId w:val="14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All activities planned/taught planning for</w:t>
            </w:r>
            <w:r w:rsidR="00986591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diversity and inclusion</w:t>
            </w:r>
          </w:p>
          <w:p w14:paraId="1715DF09" w14:textId="77777777" w:rsidR="00DB19B2" w:rsidRPr="000852F5" w:rsidRDefault="00986591">
            <w:pPr>
              <w:numPr>
                <w:ilvl w:val="0"/>
                <w:numId w:val="14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Vocabulary is deliberately mapped out showing progression, building on year on year</w:t>
            </w:r>
          </w:p>
        </w:tc>
      </w:tr>
      <w:tr w:rsidR="00DB19B2" w14:paraId="28F834FF" w14:textId="77777777">
        <w:trPr>
          <w:trHeight w:val="285"/>
        </w:trPr>
        <w:tc>
          <w:tcPr>
            <w:tcW w:w="11325" w:type="dxa"/>
            <w:gridSpan w:val="2"/>
            <w:tcBorders>
              <w:top w:val="nil"/>
              <w:left w:val="single" w:sz="18" w:space="0" w:color="4EA72E"/>
              <w:bottom w:val="single" w:sz="18" w:space="0" w:color="4EA72E"/>
              <w:right w:val="single" w:sz="18" w:space="0" w:color="4EA72E"/>
            </w:tcBorders>
            <w:shd w:val="clear" w:color="auto" w:fill="C1F0C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6DA8F9" w14:textId="77777777" w:rsidR="00DB19B2" w:rsidRPr="000852F5" w:rsidRDefault="00986591">
            <w:pPr>
              <w:spacing w:line="240" w:lineRule="auto"/>
              <w:ind w:left="-440"/>
              <w:jc w:val="center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Lesson sequencing</w:t>
            </w:r>
          </w:p>
        </w:tc>
      </w:tr>
      <w:tr w:rsidR="00DB19B2" w14:paraId="169BAABA" w14:textId="77777777">
        <w:trPr>
          <w:trHeight w:val="1395"/>
        </w:trPr>
        <w:tc>
          <w:tcPr>
            <w:tcW w:w="5685" w:type="dxa"/>
            <w:tcBorders>
              <w:top w:val="nil"/>
              <w:left w:val="single" w:sz="18" w:space="0" w:color="4EA72E"/>
              <w:bottom w:val="single" w:sz="18" w:space="0" w:color="4EA72E"/>
              <w:right w:val="single" w:sz="18" w:space="0" w:color="4EA72E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15DAA0" w14:textId="77777777" w:rsidR="00DB19B2" w:rsidRPr="000852F5" w:rsidRDefault="00986591">
            <w:pPr>
              <w:numPr>
                <w:ilvl w:val="0"/>
                <w:numId w:val="2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Each unit is broken down into </w:t>
            </w:r>
            <w:r w:rsidR="000852F5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5-7 </w:t>
            </w: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individual lessons which show how the lessons are sequenced, building on each other</w:t>
            </w:r>
          </w:p>
          <w:p w14:paraId="42710A9C" w14:textId="77777777" w:rsidR="00DB19B2" w:rsidRPr="000852F5" w:rsidRDefault="00986591">
            <w:pPr>
              <w:numPr>
                <w:ilvl w:val="0"/>
                <w:numId w:val="2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Lessons </w:t>
            </w:r>
            <w:r w:rsidR="003444A2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will </w:t>
            </w: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either have a Learning Objective (or WALT) or could be answering an enquiry question</w:t>
            </w:r>
          </w:p>
          <w:p w14:paraId="05B0DE63" w14:textId="77777777" w:rsidR="003444A2" w:rsidRPr="000852F5" w:rsidRDefault="003444A2">
            <w:pPr>
              <w:numPr>
                <w:ilvl w:val="0"/>
                <w:numId w:val="2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Focused tasks in which children develop particular aspects of knowledge and skills are included in practical lessons</w:t>
            </w:r>
          </w:p>
          <w:p w14:paraId="6D503C07" w14:textId="77777777" w:rsidR="003444A2" w:rsidRPr="000852F5" w:rsidRDefault="003444A2">
            <w:pPr>
              <w:numPr>
                <w:ilvl w:val="0"/>
                <w:numId w:val="2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There is an evaluation of progress made both throughout and at the end of each unit</w:t>
            </w:r>
            <w:r w:rsidR="00B712C8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C</w:t>
            </w:r>
            <w:r w:rsidR="00E95D40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D Wheel </w:t>
            </w:r>
            <w:r w:rsidR="004F1B3A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-or an alternatively agreed assessment </w:t>
            </w:r>
            <w:r w:rsidR="00E95D40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used for recording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18" w:space="0" w:color="4EA72E"/>
              <w:right w:val="single" w:sz="18" w:space="0" w:color="4EA72E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1BBDFF" w14:textId="77777777" w:rsidR="00DB19B2" w:rsidRPr="000852F5" w:rsidRDefault="00986591">
            <w:pPr>
              <w:numPr>
                <w:ilvl w:val="0"/>
                <w:numId w:val="11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Children will have access to </w:t>
            </w:r>
            <w:r w:rsidR="003444A2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equipment</w:t>
            </w: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which match</w:t>
            </w:r>
            <w:r w:rsidR="003444A2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es</w:t>
            </w: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their ability to support </w:t>
            </w:r>
            <w:r w:rsidR="003444A2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physical literacy and</w:t>
            </w: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learning about</w:t>
            </w:r>
            <w:r w:rsidR="003444A2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particular activities/sports</w:t>
            </w:r>
          </w:p>
          <w:p w14:paraId="5554B760" w14:textId="77777777" w:rsidR="00DB19B2" w:rsidRPr="000852F5" w:rsidRDefault="003444A2">
            <w:pPr>
              <w:numPr>
                <w:ilvl w:val="0"/>
                <w:numId w:val="12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Physical skill development</w:t>
            </w:r>
            <w:r w:rsidR="00986591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</w:t>
            </w: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is</w:t>
            </w:r>
            <w:r w:rsidR="00986591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focused on showing progression of both substantive and disciplinary strands </w:t>
            </w:r>
            <w:r w:rsidR="00986591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ab/>
            </w:r>
          </w:p>
          <w:p w14:paraId="2E0BD29D" w14:textId="77777777" w:rsidR="00DB19B2" w:rsidRPr="000852F5" w:rsidRDefault="003444A2">
            <w:pPr>
              <w:numPr>
                <w:ilvl w:val="0"/>
                <w:numId w:val="12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Photographic/video evidence is focused upon showing the progression of skills</w:t>
            </w:r>
            <w:r w:rsidR="004F1B3A">
              <w:rPr>
                <w:rFonts w:asciiTheme="majorHAnsi" w:eastAsia="Calibri" w:hAnsiTheme="majorHAnsi" w:cstheme="majorHAnsi"/>
                <w:sz w:val="16"/>
                <w:szCs w:val="16"/>
              </w:rPr>
              <w:t>. This can be uploaded to the CD Wheel.</w:t>
            </w:r>
          </w:p>
        </w:tc>
      </w:tr>
      <w:tr w:rsidR="00DB19B2" w14:paraId="34BDF1A5" w14:textId="77777777">
        <w:trPr>
          <w:trHeight w:val="285"/>
        </w:trPr>
        <w:tc>
          <w:tcPr>
            <w:tcW w:w="5685" w:type="dxa"/>
            <w:tcBorders>
              <w:top w:val="nil"/>
              <w:left w:val="single" w:sz="18" w:space="0" w:color="4EA72E"/>
              <w:bottom w:val="single" w:sz="18" w:space="0" w:color="4EA72E"/>
              <w:right w:val="single" w:sz="18" w:space="0" w:color="4EA72E"/>
            </w:tcBorders>
            <w:shd w:val="clear" w:color="auto" w:fill="C1F0C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F1654E" w14:textId="77777777" w:rsidR="00DB19B2" w:rsidRPr="000852F5" w:rsidRDefault="00986591">
            <w:pPr>
              <w:spacing w:line="240" w:lineRule="auto"/>
              <w:ind w:left="-440"/>
              <w:jc w:val="center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Retrieval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18" w:space="0" w:color="4EA72E"/>
              <w:right w:val="single" w:sz="18" w:space="0" w:color="4EA72E"/>
            </w:tcBorders>
            <w:shd w:val="clear" w:color="auto" w:fill="C1F0C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C842F9" w14:textId="77777777" w:rsidR="00DB19B2" w:rsidRPr="000852F5" w:rsidRDefault="00986591">
            <w:pPr>
              <w:spacing w:line="240" w:lineRule="auto"/>
              <w:ind w:left="-440"/>
              <w:jc w:val="center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Enrichment</w:t>
            </w:r>
          </w:p>
        </w:tc>
      </w:tr>
      <w:tr w:rsidR="00DB19B2" w14:paraId="2A25A559" w14:textId="77777777" w:rsidTr="008A0D88">
        <w:trPr>
          <w:trHeight w:val="1258"/>
        </w:trPr>
        <w:tc>
          <w:tcPr>
            <w:tcW w:w="5685" w:type="dxa"/>
            <w:tcBorders>
              <w:top w:val="nil"/>
              <w:left w:val="single" w:sz="18" w:space="0" w:color="4EA72E"/>
              <w:bottom w:val="single" w:sz="18" w:space="0" w:color="4EA72E"/>
              <w:right w:val="single" w:sz="18" w:space="0" w:color="4EA72E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EC20B4" w14:textId="77777777" w:rsidR="00DB19B2" w:rsidRPr="000852F5" w:rsidRDefault="00986591">
            <w:pPr>
              <w:numPr>
                <w:ilvl w:val="0"/>
                <w:numId w:val="6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Planned and systematic opportunities for prior learning to be retrieval – from </w:t>
            </w:r>
            <w:r w:rsidRPr="000852F5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previous units of learning</w:t>
            </w:r>
          </w:p>
          <w:p w14:paraId="7EAF8A74" w14:textId="77777777" w:rsidR="00DB19B2" w:rsidRPr="000852F5" w:rsidRDefault="00986591">
            <w:pPr>
              <w:numPr>
                <w:ilvl w:val="0"/>
                <w:numId w:val="1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Opportunities for prior learning to be retrieval – from </w:t>
            </w:r>
            <w:r w:rsidRPr="000852F5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previous lessons</w:t>
            </w: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, within the lesson design</w:t>
            </w:r>
          </w:p>
          <w:p w14:paraId="2F5F8817" w14:textId="77777777" w:rsidR="00DB19B2" w:rsidRPr="000852F5" w:rsidRDefault="00DB19B2" w:rsidP="008A0D88">
            <w:p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18" w:space="0" w:color="4EA72E"/>
              <w:right w:val="single" w:sz="18" w:space="0" w:color="4EA72E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4AF3F" w14:textId="77777777" w:rsidR="00DB19B2" w:rsidRPr="000852F5" w:rsidRDefault="00986591">
            <w:pPr>
              <w:numPr>
                <w:ilvl w:val="0"/>
                <w:numId w:val="3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Education visits and visitors mapped into the curriculum to </w:t>
            </w:r>
            <w:r w:rsidR="008A0D88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provide enrichment of taught activities.  Sports </w:t>
            </w:r>
            <w:r w:rsidR="000852F5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Weeks </w:t>
            </w:r>
            <w:r w:rsidR="008A0D88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Days/experiences included</w:t>
            </w:r>
          </w:p>
          <w:p w14:paraId="0BF3FC60" w14:textId="77777777" w:rsidR="00DB19B2" w:rsidRPr="000852F5" w:rsidRDefault="00986591">
            <w:pPr>
              <w:numPr>
                <w:ilvl w:val="0"/>
                <w:numId w:val="3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Secondary links are established for support in Y6/7 transition</w:t>
            </w:r>
            <w:r w:rsidR="008A0D88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and competiti</w:t>
            </w:r>
            <w:r w:rsidR="004F1B3A">
              <w:rPr>
                <w:rFonts w:asciiTheme="majorHAnsi" w:eastAsia="Calibri" w:hAnsiTheme="majorHAnsi" w:cstheme="majorHAnsi"/>
                <w:sz w:val="16"/>
                <w:szCs w:val="16"/>
              </w:rPr>
              <w:t>on/festival</w:t>
            </w:r>
            <w:r w:rsidR="008A0D88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opportunities</w:t>
            </w: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.   </w:t>
            </w: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ab/>
            </w:r>
          </w:p>
        </w:tc>
      </w:tr>
      <w:tr w:rsidR="00DB19B2" w14:paraId="1BDA3F79" w14:textId="77777777">
        <w:trPr>
          <w:trHeight w:val="285"/>
        </w:trPr>
        <w:tc>
          <w:tcPr>
            <w:tcW w:w="5685" w:type="dxa"/>
            <w:tcBorders>
              <w:top w:val="nil"/>
              <w:left w:val="single" w:sz="18" w:space="0" w:color="4EA72E"/>
              <w:bottom w:val="single" w:sz="18" w:space="0" w:color="4EA72E"/>
              <w:right w:val="single" w:sz="18" w:space="0" w:color="4EA72E"/>
            </w:tcBorders>
            <w:shd w:val="clear" w:color="auto" w:fill="C1F0C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452333" w14:textId="77777777" w:rsidR="00DB19B2" w:rsidRPr="000852F5" w:rsidRDefault="00986591">
            <w:pPr>
              <w:spacing w:line="240" w:lineRule="auto"/>
              <w:ind w:left="-440"/>
              <w:jc w:val="center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CPD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18" w:space="0" w:color="4EA72E"/>
              <w:right w:val="single" w:sz="18" w:space="0" w:color="4EA72E"/>
            </w:tcBorders>
            <w:shd w:val="clear" w:color="auto" w:fill="C1F0C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4032A" w14:textId="77777777" w:rsidR="00DB19B2" w:rsidRPr="000852F5" w:rsidRDefault="00986591">
            <w:pPr>
              <w:spacing w:line="240" w:lineRule="auto"/>
              <w:ind w:left="-440"/>
              <w:jc w:val="center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SEND Adaptations</w:t>
            </w:r>
          </w:p>
        </w:tc>
      </w:tr>
      <w:tr w:rsidR="00DB19B2" w14:paraId="7157CD57" w14:textId="77777777">
        <w:trPr>
          <w:trHeight w:val="1095"/>
        </w:trPr>
        <w:tc>
          <w:tcPr>
            <w:tcW w:w="5685" w:type="dxa"/>
            <w:tcBorders>
              <w:top w:val="nil"/>
              <w:left w:val="single" w:sz="18" w:space="0" w:color="4EA72E"/>
              <w:bottom w:val="single" w:sz="18" w:space="0" w:color="4EA72E"/>
              <w:right w:val="single" w:sz="18" w:space="0" w:color="4EA72E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1C267" w14:textId="77777777" w:rsidR="00DB19B2" w:rsidRPr="000852F5" w:rsidRDefault="00986591">
            <w:pPr>
              <w:numPr>
                <w:ilvl w:val="0"/>
                <w:numId w:val="13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Evidence of CPD undertaken by</w:t>
            </w:r>
            <w:r w:rsidR="004F1B3A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subject</w:t>
            </w: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lead.</w:t>
            </w:r>
          </w:p>
          <w:p w14:paraId="0A4B9ACD" w14:textId="77777777" w:rsidR="00DB19B2" w:rsidRPr="000852F5" w:rsidRDefault="00986591">
            <w:pPr>
              <w:numPr>
                <w:ilvl w:val="0"/>
                <w:numId w:val="13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Attendance at TP</w:t>
            </w:r>
            <w:r w:rsidR="008A0D88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AT PE Hub events</w:t>
            </w:r>
          </w:p>
          <w:p w14:paraId="117E527D" w14:textId="77777777" w:rsidR="00DB19B2" w:rsidRPr="000852F5" w:rsidRDefault="00986591">
            <w:pPr>
              <w:numPr>
                <w:ilvl w:val="0"/>
                <w:numId w:val="13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Evidence of CPD provided for staff.</w:t>
            </w:r>
          </w:p>
          <w:p w14:paraId="362F38BD" w14:textId="77777777" w:rsidR="000852F5" w:rsidRPr="000852F5" w:rsidRDefault="000852F5">
            <w:pPr>
              <w:numPr>
                <w:ilvl w:val="0"/>
                <w:numId w:val="13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Evidence of the sustainable impact this CPD has had on the quality of teaching/confidence of staff</w:t>
            </w:r>
          </w:p>
          <w:p w14:paraId="4CA06E65" w14:textId="77777777" w:rsidR="00E95D40" w:rsidRPr="000852F5" w:rsidRDefault="00E95D40" w:rsidP="00E95D40">
            <w:pPr>
              <w:spacing w:line="240" w:lineRule="auto"/>
              <w:ind w:left="720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                                                                                     </w:t>
            </w:r>
            <w:r w:rsidRPr="000852F5">
              <w:rPr>
                <w:rFonts w:asciiTheme="majorHAnsi" w:hAnsiTheme="majorHAnsi" w:cstheme="majorHAnsi"/>
                <w:noProof/>
                <w:sz w:val="16"/>
                <w:szCs w:val="16"/>
              </w:rPr>
              <w:drawing>
                <wp:inline distT="0" distB="0" distL="0" distR="0" wp14:anchorId="2E948847" wp14:editId="133CDA19">
                  <wp:extent cx="339512" cy="44767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696" cy="461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0" w:type="dxa"/>
            <w:tcBorders>
              <w:top w:val="nil"/>
              <w:left w:val="nil"/>
              <w:bottom w:val="single" w:sz="18" w:space="0" w:color="4EA72E"/>
              <w:right w:val="single" w:sz="18" w:space="0" w:color="4EA72E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B7FA53" w14:textId="77777777" w:rsidR="00DB19B2" w:rsidRPr="000852F5" w:rsidRDefault="00986591">
            <w:pPr>
              <w:numPr>
                <w:ilvl w:val="0"/>
                <w:numId w:val="15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Identify where barriers to learning are in the sequence of learning for specific adaptations for the 4 area</w:t>
            </w:r>
            <w:r w:rsidR="00431438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s</w:t>
            </w: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of need</w:t>
            </w:r>
          </w:p>
          <w:p w14:paraId="4A0B0FA1" w14:textId="77777777" w:rsidR="00DB19B2" w:rsidRPr="000852F5" w:rsidRDefault="00986591">
            <w:pPr>
              <w:numPr>
                <w:ilvl w:val="0"/>
                <w:numId w:val="15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SEND Adaptations made for children who may find </w:t>
            </w:r>
            <w:r w:rsidR="00431438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group work or individual skills difficult</w:t>
            </w:r>
          </w:p>
          <w:p w14:paraId="25636649" w14:textId="77777777" w:rsidR="00DB19B2" w:rsidRPr="000852F5" w:rsidRDefault="000852F5">
            <w:pPr>
              <w:numPr>
                <w:ilvl w:val="0"/>
                <w:numId w:val="15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Use of </w:t>
            </w:r>
            <w:r w:rsidR="00986591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SEND Adaptations specifically for </w:t>
            </w:r>
            <w:r w:rsidR="00431438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PE – e.g. the TPAT PE adaptation recommendations published to all schools.</w:t>
            </w:r>
          </w:p>
        </w:tc>
      </w:tr>
      <w:tr w:rsidR="00DB19B2" w14:paraId="6CF12775" w14:textId="77777777">
        <w:trPr>
          <w:trHeight w:val="285"/>
        </w:trPr>
        <w:tc>
          <w:tcPr>
            <w:tcW w:w="5685" w:type="dxa"/>
            <w:tcBorders>
              <w:top w:val="nil"/>
              <w:left w:val="single" w:sz="18" w:space="0" w:color="4EA72E"/>
              <w:bottom w:val="single" w:sz="18" w:space="0" w:color="4EA72E"/>
              <w:right w:val="single" w:sz="18" w:space="0" w:color="4EA72E"/>
            </w:tcBorders>
            <w:shd w:val="clear" w:color="auto" w:fill="C1F0C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D861B" w14:textId="77777777" w:rsidR="00DB19B2" w:rsidRPr="000852F5" w:rsidRDefault="00986591">
            <w:pPr>
              <w:spacing w:line="240" w:lineRule="auto"/>
              <w:ind w:left="-440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                        </w:t>
            </w:r>
            <w:r w:rsidRPr="000852F5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ab/>
              <w:t xml:space="preserve"> Monitoring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18" w:space="0" w:color="4EA72E"/>
              <w:right w:val="single" w:sz="18" w:space="0" w:color="4EA72E"/>
            </w:tcBorders>
            <w:shd w:val="clear" w:color="auto" w:fill="C1F0C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E8B42" w14:textId="77777777" w:rsidR="00DB19B2" w:rsidRPr="000852F5" w:rsidRDefault="00986591">
            <w:pPr>
              <w:spacing w:line="240" w:lineRule="auto"/>
              <w:ind w:left="-440"/>
              <w:jc w:val="center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Assessment</w:t>
            </w:r>
          </w:p>
        </w:tc>
      </w:tr>
      <w:tr w:rsidR="00DB19B2" w14:paraId="38F0856C" w14:textId="77777777">
        <w:trPr>
          <w:trHeight w:val="1545"/>
        </w:trPr>
        <w:tc>
          <w:tcPr>
            <w:tcW w:w="5685" w:type="dxa"/>
            <w:tcBorders>
              <w:top w:val="nil"/>
              <w:left w:val="single" w:sz="18" w:space="0" w:color="4EA72E"/>
              <w:bottom w:val="single" w:sz="18" w:space="0" w:color="4EA72E"/>
              <w:right w:val="single" w:sz="18" w:space="0" w:color="4EA72E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83B474" w14:textId="77777777" w:rsidR="00431438" w:rsidRPr="000852F5" w:rsidRDefault="00986591" w:rsidP="00431438">
            <w:pPr>
              <w:numPr>
                <w:ilvl w:val="0"/>
                <w:numId w:val="10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Monitoring schedule in place for </w:t>
            </w:r>
            <w:r w:rsidR="00431438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PE</w:t>
            </w:r>
            <w:r w:rsidR="004F1B3A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and agreed by subject lead and HT</w:t>
            </w:r>
          </w:p>
          <w:p w14:paraId="29AEB736" w14:textId="77777777" w:rsidR="00DB19B2" w:rsidRPr="000852F5" w:rsidRDefault="00986591">
            <w:pPr>
              <w:numPr>
                <w:ilvl w:val="0"/>
                <w:numId w:val="10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Monitoring of planning and/or lesson observations shows that the intended curriculum is enacted</w:t>
            </w:r>
          </w:p>
          <w:p w14:paraId="2EB749D7" w14:textId="77777777" w:rsidR="00DB19B2" w:rsidRPr="000852F5" w:rsidRDefault="00986591">
            <w:pPr>
              <w:numPr>
                <w:ilvl w:val="0"/>
                <w:numId w:val="10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There is evidence of children showing knowledge and understanding in </w:t>
            </w:r>
            <w:r w:rsidR="00431438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lessons,</w:t>
            </w: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floor books or on a technology platform</w:t>
            </w:r>
          </w:p>
          <w:p w14:paraId="489891ED" w14:textId="77777777" w:rsidR="00DB19B2" w:rsidRPr="000852F5" w:rsidRDefault="00986591">
            <w:pPr>
              <w:numPr>
                <w:ilvl w:val="0"/>
                <w:numId w:val="10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Children can talk about</w:t>
            </w:r>
            <w:r w:rsidR="00431438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PE and the importance of being active and healthy</w:t>
            </w:r>
            <w:r w:rsidR="004F1B3A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and the benefits it brings them</w:t>
            </w:r>
          </w:p>
          <w:p w14:paraId="2022FC41" w14:textId="77777777" w:rsidR="00DB19B2" w:rsidRPr="000852F5" w:rsidRDefault="00986591">
            <w:pPr>
              <w:numPr>
                <w:ilvl w:val="0"/>
                <w:numId w:val="10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Pupil conferencing shows that children can talk through the learning ensuring that the knowledge matches the end points / knowledge </w:t>
            </w:r>
            <w:proofErr w:type="gramStart"/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organisers</w:t>
            </w:r>
            <w:r w:rsidR="004F1B3A">
              <w:rPr>
                <w:rFonts w:asciiTheme="majorHAnsi" w:eastAsia="Calibri" w:hAnsiTheme="majorHAnsi" w:cstheme="majorHAnsi"/>
                <w:sz w:val="16"/>
                <w:szCs w:val="16"/>
              </w:rPr>
              <w:t>(</w:t>
            </w:r>
            <w:proofErr w:type="gramEnd"/>
            <w:r w:rsidR="004F1B3A">
              <w:rPr>
                <w:rFonts w:asciiTheme="majorHAnsi" w:eastAsia="Calibri" w:hAnsiTheme="majorHAnsi" w:cstheme="majorHAnsi"/>
                <w:sz w:val="16"/>
                <w:szCs w:val="16"/>
              </w:rPr>
              <w:t>if schools using them)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18" w:space="0" w:color="4EA72E"/>
              <w:right w:val="single" w:sz="18" w:space="0" w:color="4EA72E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340434" w14:textId="77777777" w:rsidR="00DB19B2" w:rsidRPr="000852F5" w:rsidRDefault="00986591">
            <w:pPr>
              <w:numPr>
                <w:ilvl w:val="0"/>
                <w:numId w:val="5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Formative assessment through verbal questions throughout the lesson planned in to assess knowledge and understanding</w:t>
            </w:r>
          </w:p>
          <w:p w14:paraId="5B9240BD" w14:textId="77777777" w:rsidR="00DB19B2" w:rsidRPr="000852F5" w:rsidRDefault="00986591">
            <w:pPr>
              <w:numPr>
                <w:ilvl w:val="0"/>
                <w:numId w:val="4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End of unit assessment appropriate to the learning / </w:t>
            </w:r>
            <w:r w:rsidR="00431438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sport/activity being taught</w:t>
            </w:r>
          </w:p>
          <w:p w14:paraId="14CA8AA0" w14:textId="77777777" w:rsidR="00DB19B2" w:rsidRPr="000852F5" w:rsidRDefault="00986591">
            <w:pPr>
              <w:numPr>
                <w:ilvl w:val="0"/>
                <w:numId w:val="4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Assessment strategy in place for </w:t>
            </w:r>
            <w:r w:rsidR="00431438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PE that is</w:t>
            </w: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clear to staff and children</w:t>
            </w:r>
          </w:p>
          <w:p w14:paraId="3934C82F" w14:textId="77777777" w:rsidR="00E95D40" w:rsidRPr="000852F5" w:rsidRDefault="00E95D40" w:rsidP="00E95D40">
            <w:pPr>
              <w:spacing w:line="240" w:lineRule="auto"/>
              <w:ind w:left="720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                                                                                    </w:t>
            </w:r>
            <w:r w:rsidRPr="000852F5">
              <w:rPr>
                <w:rFonts w:asciiTheme="majorHAnsi" w:hAnsiTheme="majorHAnsi" w:cstheme="majorHAnsi"/>
                <w:noProof/>
                <w:sz w:val="16"/>
                <w:szCs w:val="16"/>
              </w:rPr>
              <w:drawing>
                <wp:inline distT="0" distB="0" distL="0" distR="0" wp14:anchorId="20879D71" wp14:editId="0DAFBFE9">
                  <wp:extent cx="456539" cy="490537"/>
                  <wp:effectExtent l="0" t="0" r="127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028" cy="507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19B2" w14:paraId="43D09589" w14:textId="77777777">
        <w:trPr>
          <w:trHeight w:val="285"/>
        </w:trPr>
        <w:tc>
          <w:tcPr>
            <w:tcW w:w="11325" w:type="dxa"/>
            <w:gridSpan w:val="2"/>
            <w:tcBorders>
              <w:top w:val="nil"/>
              <w:left w:val="single" w:sz="18" w:space="0" w:color="4EA72E"/>
              <w:bottom w:val="single" w:sz="18" w:space="0" w:color="4EA72E"/>
              <w:right w:val="single" w:sz="18" w:space="0" w:color="4EA72E"/>
            </w:tcBorders>
            <w:shd w:val="clear" w:color="auto" w:fill="C1F0C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3B4B9C" w14:textId="77777777" w:rsidR="00DB19B2" w:rsidRPr="000852F5" w:rsidRDefault="00986591">
            <w:pPr>
              <w:spacing w:line="240" w:lineRule="auto"/>
              <w:ind w:left="280"/>
              <w:jc w:val="center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Impact</w:t>
            </w:r>
          </w:p>
        </w:tc>
      </w:tr>
      <w:tr w:rsidR="00DB19B2" w14:paraId="400771D2" w14:textId="77777777">
        <w:trPr>
          <w:trHeight w:val="870"/>
        </w:trPr>
        <w:tc>
          <w:tcPr>
            <w:tcW w:w="11325" w:type="dxa"/>
            <w:gridSpan w:val="2"/>
            <w:tcBorders>
              <w:top w:val="nil"/>
              <w:left w:val="single" w:sz="18" w:space="0" w:color="4EA72E"/>
              <w:bottom w:val="single" w:sz="18" w:space="0" w:color="4EA72E"/>
              <w:right w:val="single" w:sz="18" w:space="0" w:color="4EA72E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0577F8" w14:textId="77777777" w:rsidR="00DB19B2" w:rsidRPr="000852F5" w:rsidRDefault="00986591">
            <w:pPr>
              <w:numPr>
                <w:ilvl w:val="0"/>
                <w:numId w:val="7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The intended </w:t>
            </w:r>
            <w:r w:rsidR="00431438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PE</w:t>
            </w: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curriculum is enacted</w:t>
            </w:r>
            <w:r w:rsidR="000852F5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including the statutory provision of swimming in the curriculum</w:t>
            </w:r>
          </w:p>
          <w:p w14:paraId="50D83EB5" w14:textId="77777777" w:rsidR="00DB19B2" w:rsidRPr="000852F5" w:rsidRDefault="00986591">
            <w:pPr>
              <w:numPr>
                <w:ilvl w:val="0"/>
                <w:numId w:val="7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Children have developed a love of </w:t>
            </w:r>
            <w:r w:rsidR="00431438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PE </w:t>
            </w: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and</w:t>
            </w:r>
            <w:r w:rsidR="00431438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physical activity, they</w:t>
            </w: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can talk about the</w:t>
            </w:r>
            <w:r w:rsidR="00431438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importance of being active and the different ways that they can do this</w:t>
            </w:r>
            <w:r w:rsidR="000852F5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.  How many of your children access PE enrichment clubs and activities as a % from each year group?</w:t>
            </w:r>
          </w:p>
          <w:p w14:paraId="12EA88E3" w14:textId="77777777" w:rsidR="00DB19B2" w:rsidRPr="000852F5" w:rsidRDefault="00986591">
            <w:pPr>
              <w:numPr>
                <w:ilvl w:val="0"/>
                <w:numId w:val="7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Children’s understanding of how </w:t>
            </w:r>
            <w:r w:rsidR="00431438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their physical health </w:t>
            </w: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impacts th</w:t>
            </w:r>
            <w:r w:rsidR="00431438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eir ability to achieve in PE</w:t>
            </w:r>
          </w:p>
          <w:p w14:paraId="4A922BDB" w14:textId="77777777" w:rsidR="00DB19B2" w:rsidRPr="000852F5" w:rsidRDefault="00986591">
            <w:pPr>
              <w:numPr>
                <w:ilvl w:val="0"/>
                <w:numId w:val="7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Children are developing cultural capital by increased knowledge of </w:t>
            </w:r>
            <w:r w:rsidR="00431438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a range of sports and the sports people that have influenced these.</w:t>
            </w:r>
          </w:p>
          <w:p w14:paraId="64A93DA8" w14:textId="77777777" w:rsidR="00DB19B2" w:rsidRPr="000852F5" w:rsidRDefault="00986591">
            <w:pPr>
              <w:numPr>
                <w:ilvl w:val="0"/>
                <w:numId w:val="7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Children are knowing more, understanding more and doing more aligned to end points decided on by school</w:t>
            </w:r>
          </w:p>
          <w:p w14:paraId="4BAF52B6" w14:textId="77777777" w:rsidR="00DB19B2" w:rsidRPr="000852F5" w:rsidRDefault="00986591">
            <w:pPr>
              <w:numPr>
                <w:ilvl w:val="0"/>
                <w:numId w:val="7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The </w:t>
            </w:r>
            <w:r w:rsidR="00431438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PE </w:t>
            </w: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curriculum is accessible to all children</w:t>
            </w:r>
            <w:r w:rsidR="000852F5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and all children have access to competition. Do you access festivals and School Games events?</w:t>
            </w:r>
          </w:p>
          <w:p w14:paraId="2004F38D" w14:textId="77777777" w:rsidR="00431438" w:rsidRPr="000852F5" w:rsidRDefault="00986591" w:rsidP="00431438">
            <w:pPr>
              <w:numPr>
                <w:ilvl w:val="0"/>
                <w:numId w:val="7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Children can </w:t>
            </w:r>
            <w:r w:rsidR="00431438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work sensitively and respectfully with others who</w:t>
            </w:r>
            <w:r w:rsidR="004F1B3A">
              <w:rPr>
                <w:rFonts w:asciiTheme="majorHAnsi" w:eastAsia="Calibri" w:hAnsiTheme="majorHAnsi" w:cstheme="majorHAnsi"/>
                <w:sz w:val="16"/>
                <w:szCs w:val="16"/>
              </w:rPr>
              <w:t>se</w:t>
            </w:r>
            <w:r w:rsidR="00431438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abilities may differ from theirs</w:t>
            </w:r>
          </w:p>
          <w:p w14:paraId="79001D1E" w14:textId="77777777" w:rsidR="00431438" w:rsidRPr="000852F5" w:rsidRDefault="00431438" w:rsidP="00431438">
            <w:pPr>
              <w:numPr>
                <w:ilvl w:val="0"/>
                <w:numId w:val="7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Children are able to perform with confidence and enthusiasm and are willing to </w:t>
            </w:r>
            <w:r w:rsidR="008A0D88"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try new challenging activities</w:t>
            </w:r>
          </w:p>
          <w:p w14:paraId="146A113F" w14:textId="77777777" w:rsidR="000852F5" w:rsidRPr="000852F5" w:rsidRDefault="000852F5" w:rsidP="00431438">
            <w:pPr>
              <w:numPr>
                <w:ilvl w:val="0"/>
                <w:numId w:val="7"/>
              </w:numPr>
              <w:spacing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0852F5">
              <w:rPr>
                <w:rFonts w:asciiTheme="majorHAnsi" w:eastAsia="Calibri" w:hAnsiTheme="majorHAnsi" w:cstheme="majorHAnsi"/>
                <w:sz w:val="16"/>
                <w:szCs w:val="16"/>
              </w:rPr>
              <w:t>Are coaching staff used to enhance the enrichment opportunities in PE/Sport?</w:t>
            </w:r>
          </w:p>
          <w:p w14:paraId="44244F6A" w14:textId="77777777" w:rsidR="00DB19B2" w:rsidRPr="000852F5" w:rsidRDefault="00DB19B2" w:rsidP="008A0D88">
            <w:pPr>
              <w:spacing w:line="240" w:lineRule="auto"/>
              <w:ind w:left="720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</w:tbl>
    <w:p w14:paraId="78A656BC" w14:textId="77777777" w:rsidR="00DB19B2" w:rsidRDefault="00986591">
      <w:pPr>
        <w:spacing w:after="160" w:line="301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205A5526" w14:textId="77777777" w:rsidR="00DB19B2" w:rsidRDefault="00986591">
      <w:pPr>
        <w:spacing w:after="160" w:line="301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 </w:t>
      </w:r>
    </w:p>
    <w:p w14:paraId="4481472E" w14:textId="77777777" w:rsidR="00DB19B2" w:rsidRDefault="00DB19B2"/>
    <w:sectPr w:rsidR="00DB19B2">
      <w:head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DFB89" w14:textId="77777777" w:rsidR="0006541B" w:rsidRDefault="0006541B">
      <w:pPr>
        <w:spacing w:line="240" w:lineRule="auto"/>
      </w:pPr>
      <w:r>
        <w:separator/>
      </w:r>
    </w:p>
  </w:endnote>
  <w:endnote w:type="continuationSeparator" w:id="0">
    <w:p w14:paraId="526FA390" w14:textId="77777777" w:rsidR="0006541B" w:rsidRDefault="000654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2088A" w14:textId="77777777" w:rsidR="0006541B" w:rsidRDefault="0006541B">
      <w:pPr>
        <w:spacing w:line="240" w:lineRule="auto"/>
      </w:pPr>
      <w:r>
        <w:separator/>
      </w:r>
    </w:p>
  </w:footnote>
  <w:footnote w:type="continuationSeparator" w:id="0">
    <w:p w14:paraId="0DF74465" w14:textId="77777777" w:rsidR="0006541B" w:rsidRDefault="000654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37EE8" w14:textId="77777777" w:rsidR="00DB19B2" w:rsidRDefault="00E95D40">
    <w:r>
      <w:rPr>
        <w:noProof/>
      </w:rPr>
      <w:drawing>
        <wp:inline distT="0" distB="0" distL="0" distR="0" wp14:anchorId="50E58C3D" wp14:editId="1141F1E8">
          <wp:extent cx="466725" cy="404495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2913" cy="444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7DF0" w:rsidRPr="00117DF0">
      <w:rPr>
        <w:noProof/>
      </w:rPr>
      <w:t xml:space="preserve"> </w:t>
    </w:r>
    <w:r w:rsidR="00117DF0">
      <w:rPr>
        <w:noProof/>
      </w:rPr>
      <w:t xml:space="preserve">                                                                                                                   </w:t>
    </w:r>
    <w:r w:rsidR="00117DF0">
      <w:rPr>
        <w:noProof/>
      </w:rPr>
      <w:drawing>
        <wp:inline distT="0" distB="0" distL="0" distR="0" wp14:anchorId="29E9FA6B" wp14:editId="1038AA00">
          <wp:extent cx="614363" cy="525895"/>
          <wp:effectExtent l="0" t="0" r="0" b="762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6758" cy="536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7DF0">
      <w:rPr>
        <w:noProof/>
      </w:rPr>
      <w:t xml:space="preserve">          </w:t>
    </w:r>
    <w:r w:rsidR="00986591">
      <w:rPr>
        <w:noProof/>
      </w:rPr>
      <w:drawing>
        <wp:anchor distT="0" distB="0" distL="114300" distR="114300" simplePos="0" relativeHeight="251658240" behindDoc="0" locked="0" layoutInCell="1" hidden="0" allowOverlap="1" wp14:anchorId="68DE6E48" wp14:editId="3839A769">
          <wp:simplePos x="0" y="0"/>
          <wp:positionH relativeFrom="column">
            <wp:posOffset>1924050</wp:posOffset>
          </wp:positionH>
          <wp:positionV relativeFrom="paragraph">
            <wp:posOffset>-247649</wp:posOffset>
          </wp:positionV>
          <wp:extent cx="1981200" cy="546735"/>
          <wp:effectExtent l="0" t="0" r="0" b="0"/>
          <wp:wrapNone/>
          <wp:docPr id="2" name="image3.png" descr="\\gulon\Staff_J_TR\jenniferb\Pictures\Teaching School\Trust\tapat colou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\\gulon\Staff_J_TR\jenniferb\Pictures\Teaching School\Trust\tapat colour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1200" cy="546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17C7"/>
    <w:multiLevelType w:val="multilevel"/>
    <w:tmpl w:val="E79843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BD7012"/>
    <w:multiLevelType w:val="multilevel"/>
    <w:tmpl w:val="5832D6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981CAB"/>
    <w:multiLevelType w:val="multilevel"/>
    <w:tmpl w:val="056A07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0EA03E7"/>
    <w:multiLevelType w:val="multilevel"/>
    <w:tmpl w:val="B584FA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5325AED"/>
    <w:multiLevelType w:val="multilevel"/>
    <w:tmpl w:val="F68850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7E02A90"/>
    <w:multiLevelType w:val="multilevel"/>
    <w:tmpl w:val="1EB2E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4F279B"/>
    <w:multiLevelType w:val="multilevel"/>
    <w:tmpl w:val="5C78D8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A9E3887"/>
    <w:multiLevelType w:val="multilevel"/>
    <w:tmpl w:val="95BCDD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C877661"/>
    <w:multiLevelType w:val="multilevel"/>
    <w:tmpl w:val="6D1663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8AC6BF5"/>
    <w:multiLevelType w:val="multilevel"/>
    <w:tmpl w:val="DC0C65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C8A3725"/>
    <w:multiLevelType w:val="multilevel"/>
    <w:tmpl w:val="9C34D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D702E96"/>
    <w:multiLevelType w:val="multilevel"/>
    <w:tmpl w:val="E640C7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2962F1B"/>
    <w:multiLevelType w:val="multilevel"/>
    <w:tmpl w:val="A21477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9767CF9"/>
    <w:multiLevelType w:val="multilevel"/>
    <w:tmpl w:val="607A86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9A57B7F"/>
    <w:multiLevelType w:val="multilevel"/>
    <w:tmpl w:val="024C77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74306200">
    <w:abstractNumId w:val="0"/>
  </w:num>
  <w:num w:numId="2" w16cid:durableId="116536282">
    <w:abstractNumId w:val="4"/>
  </w:num>
  <w:num w:numId="3" w16cid:durableId="154876994">
    <w:abstractNumId w:val="5"/>
  </w:num>
  <w:num w:numId="4" w16cid:durableId="1062094672">
    <w:abstractNumId w:val="12"/>
  </w:num>
  <w:num w:numId="5" w16cid:durableId="146748873">
    <w:abstractNumId w:val="7"/>
  </w:num>
  <w:num w:numId="6" w16cid:durableId="1921451565">
    <w:abstractNumId w:val="2"/>
  </w:num>
  <w:num w:numId="7" w16cid:durableId="1858501897">
    <w:abstractNumId w:val="10"/>
  </w:num>
  <w:num w:numId="8" w16cid:durableId="386610912">
    <w:abstractNumId w:val="9"/>
  </w:num>
  <w:num w:numId="9" w16cid:durableId="1144811835">
    <w:abstractNumId w:val="8"/>
  </w:num>
  <w:num w:numId="10" w16cid:durableId="1650818755">
    <w:abstractNumId w:val="14"/>
  </w:num>
  <w:num w:numId="11" w16cid:durableId="1520268461">
    <w:abstractNumId w:val="3"/>
  </w:num>
  <w:num w:numId="12" w16cid:durableId="1871262918">
    <w:abstractNumId w:val="6"/>
  </w:num>
  <w:num w:numId="13" w16cid:durableId="964501561">
    <w:abstractNumId w:val="11"/>
  </w:num>
  <w:num w:numId="14" w16cid:durableId="185947543">
    <w:abstractNumId w:val="13"/>
  </w:num>
  <w:num w:numId="15" w16cid:durableId="1442720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9B2"/>
    <w:rsid w:val="0006541B"/>
    <w:rsid w:val="000852F5"/>
    <w:rsid w:val="000C3270"/>
    <w:rsid w:val="00117DF0"/>
    <w:rsid w:val="002640BF"/>
    <w:rsid w:val="003444A2"/>
    <w:rsid w:val="003E61ED"/>
    <w:rsid w:val="00431438"/>
    <w:rsid w:val="004F1B3A"/>
    <w:rsid w:val="005D2FB0"/>
    <w:rsid w:val="007146D3"/>
    <w:rsid w:val="008A0D88"/>
    <w:rsid w:val="00986591"/>
    <w:rsid w:val="00B712C8"/>
    <w:rsid w:val="00C27956"/>
    <w:rsid w:val="00DB19B2"/>
    <w:rsid w:val="00DE00C1"/>
    <w:rsid w:val="00E9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3CC384"/>
  <w15:docId w15:val="{ACAA1087-8629-4260-8483-225FC5F7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5D4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D40"/>
  </w:style>
  <w:style w:type="paragraph" w:styleId="Footer">
    <w:name w:val="footer"/>
    <w:basedOn w:val="Normal"/>
    <w:link w:val="FooterChar"/>
    <w:uiPriority w:val="99"/>
    <w:unhideWhenUsed/>
    <w:rsid w:val="00E95D4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Booth</dc:creator>
  <cp:lastModifiedBy>Georgia Cane</cp:lastModifiedBy>
  <cp:revision>2</cp:revision>
  <dcterms:created xsi:type="dcterms:W3CDTF">2026-04-30T12:43:00Z</dcterms:created>
  <dcterms:modified xsi:type="dcterms:W3CDTF">2026-04-30T12:43:00Z</dcterms:modified>
</cp:coreProperties>
</file>